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30.11.2016,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Věřitelé zadlužené části Vítkovic schválili reorganizaci</w:t>
      </w:r>
    </w:p>
    <w:p>
      <w:pPr/>
      <w:r>
        <w:rPr/>
        <w:t xml:space="preserve">Asi 60 věřitelů společnosti Vítkovice Power Engineering přišlo k insolvenčnímu soudu, který se s kapacitních důvodů uskutečnil v Domě kultury města Ostravy. Hlavním bodem jednání bylo hlasování o dalším osudu předlužené společnosti. Možností byl konkurz a tedy pravděpodobný konec firmy a nebo reorganizace. 66 procent z přítomných věřitelů rozhodlo, že společnost bude zachována. </w:t>
      </w:r>
    </w:p>
    <w:p>
      <w:pPr/>
      <w:r>
        <w:rPr/>
        <w:t xml:space="preserve">soudce: “Schůze věřitelů přijala usnesení, kterým rozhodla o řešení úpadku dlužníka reorganizací.”  </w:t>
      </w:r>
    </w:p>
    <w:p>
      <w:pPr/>
      <w:r>
        <w:rPr/>
        <w:t xml:space="preserve">Společnost Vítkovice Power Engineering představila předběžný plán reorganizace. Chce zachovat jádrové činnosti, jako je kotlárna či mostárna a naopak prodat nebo utlumit ostatní. Například provoz Hard Jeseník. Propouštění se dotkne asi 350ti lidí z tisícovky zaměstnanců. </w:t>
      </w:r>
    </w:p>
    <w:p>
      <w:pPr/>
      <w:r>
        <w:rPr/>
        <w:t xml:space="preserve">Libor Witassek, generální ředitel Vítkovice a.s.: “Na poweru je nesprávný poměr tzv. THP pracovníků a přímých dělníků. Chceme maximálně zachovat dělníky, dokonce musím říct, že jich máme v některých provozech málo a budeme snižovat THP.”  </w:t>
      </w:r>
    </w:p>
    <w:p>
      <w:pPr/>
      <w:r>
        <w:rPr/>
        <w:t xml:space="preserve">Pro reorganizaci se vyslovil také insolvenční správce. Prý tak bude pravděpodobně uspokojeno více věřitelů. Na plán reorganizace si Vítkovice vyžádaly půl roku. Pak ho předloží věřitelům ke schválení. Podle nového krizového vedení podniku nebude problém získat zakázky na nejméně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6522/veritele-zadluzene-casti-vitkovic-schvalili-reorga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2026-04-11T15:53:19+02:00</dcterms:created>
  <dcterms:modified xsi:type="dcterms:W3CDTF">2026-04-11T15:53:19+02:00</dcterms:modified>
</cp:coreProperties>
</file>

<file path=docProps/custom.xml><?xml version="1.0" encoding="utf-8"?>
<Properties xmlns="http://schemas.openxmlformats.org/officeDocument/2006/custom-properties" xmlns:vt="http://schemas.openxmlformats.org/officeDocument/2006/docPropsVTypes"/>
</file>