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6.2.2018, 15:36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HC Vítkovice podepsal smlouvu s Riderou na další dva roky</w:t>
      </w:r>
    </w:p>
    <w:p>
      <w:pPr/>
      <w:r>
        <w:rPr/>
        <w:t xml:space="preserve">Vítkovickým hokejistům se letos daří, momentálně jsou čtvrtí a diváci chodí. Ba co víc, Vítkovice si už teď zajistily přímý postup do play off. A to se generálnímu partnerovi samozřejmě líbí. “Nejvíce oceňuji, že se v Ostravě a okolí zvedl zájem o hokej,” zdůraznil Václav Daněk, zástupce generálního partnera. A majitel HC Vítkovice Aleš Pavlík dodal: “Je to pro nás velmi významný okamžik, znamená stabilitu na další dva roky.”</w:t>
      </w:r>
    </w:p>
    <w:p>
      <w:pPr/>
      <w:r>
        <w:rPr/>
        <w:t xml:space="preserve">Smlouva obsahuje také bonusy za titul. “Dali jsme to tam, ať je motivace,” smál se Daněk. “Chtěli bychom vystoupat na vrchol nejpozději v horizontu pěti let,” uzavřel Pavlík.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1596/hc-vitkovice-podepsal-smlouvu-s-riderou-na-dalsi-dva-ro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2026-07-06T17:38:19+02:00</dcterms:created>
  <dcterms:modified xsi:type="dcterms:W3CDTF">2026-07-06T17:38:19+02:00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