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sociálních služeb ve F-M poputuje bezmála 91 milionů</w:t>
      </w:r>
    </w:p>
    <w:p>
      <w:pPr/>
      <w:r>
        <w:rPr/>
        <w:t xml:space="preserve">Na svém prosincovém zasedání schválili zastupitelé města Frýdku-Místku rozpočet na příští rok, který počítá s více než jednou a půl miliardy korun. Bezmála 91 milionů je vyčleněno do oblasti sociálních služeb.</w:t>
      </w:r>
    </w:p>
    <w:p>
      <w:pPr/>
      <w:r>
        <w:rPr/>
        <w:t xml:space="preserve">“Celkem 11 milionů, tedy o 700 tisíc více než v předchozím roce, bylo schváleno v rámci dotačního programu Podpora a rozvoj sociálních služeb. Celkem si tuto částku rozdělí 35 organizací, které poskytují sociální služby na území města. Největší částky v rámci tohoto programu získá Charita Frýdek-Místek, Slezská diakonie či Podané ruce,” uvedl náměstek primátora Frýdku-Místku Marcel Sikora.</w:t>
      </w:r>
    </w:p>
    <w:p>
      <w:pPr/>
      <w:r>
        <w:rPr/>
        <w:t xml:space="preserve">Prostředky schválené pro sociální oblast budou uvolněny také pro příspěvkové organizace, které Frýdek-Místek zřizuje.</w:t>
      </w:r>
    </w:p>
    <w:p>
      <w:pPr/>
      <w:r>
        <w:rPr/>
        <w:t xml:space="preserve">“Více než polovinu ze schválených financí, tedy z 91 milionů, získají naše příspěvkové organizace Domov pro seniory, Penzion pro seniory, Hospic Frýdek-Místek, Centrum pečovatelské služby, Žirafa a Jesle Frýdek-Místek. Jeden milion korun také získá Nemocnice ve Frýdku-Místku, a to na základě uzavřené smlouvy z roku 2014,” řekl Sikora.</w:t>
      </w:r>
    </w:p>
    <w:p>
      <w:pPr/>
      <w:r>
        <w:rPr/>
        <w:t xml:space="preserve">Za tuto částku nemocnice nakoupí elektricky polohovatelná lůžka pro pacienty na oddělení dlouhodobé následné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887/do-socialnich-sluzeb-ve-fm-poputuje-bezmala-91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2026-06-30T22:38:00+02:00</dcterms:created>
  <dcterms:modified xsi:type="dcterms:W3CDTF">2026-06-30T22:38:00+02:00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