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podpoří nákup hybridních automobilů</w:t>
      </w:r>
    </w:p>
    <w:p>
      <w:pPr/>
      <w:r>
        <w:rPr/>
        <w:t xml:space="preserve">Na březnovém zasedání zastupitelstva města zastupitelé rozhodli o zmocnění Rady Frýdku-Místku k vyhlašování dotačního programu na pořízení hybridních automobilů a ke schvalování podmínek, za kterých město příspěvky občanům poskytne.</w:t>
      </w:r>
    </w:p>
    <w:p>
      <w:pPr/>
      <w:r>
        <w:rPr/>
        <w:t xml:space="preserve">“Dotační program bude určen na podporu nákupu osobních vozidel s plně hybridním pohonem a v letošním rozpočtu je na něj vyčleněno pět milionů korun.Cílem je snížení negativních vlivů dopravy na zdraví obyvatel a životní prostředí, zejména snížení emisí z dopravy a případné snížení hlukové zátěže,” uvedl náměstek primátora Frýdku-Místku Jakub Míček.</w:t>
      </w:r>
    </w:p>
    <w:p>
      <w:pPr/>
      <w:r>
        <w:rPr/>
        <w:t xml:space="preserve">Podpora se zatím nebude týkat elektromobilů. Město chce podpořit pouze automobily s hybridním pohonem, které nepotřebují infrastrukturu. </w:t>
      </w:r>
    </w:p>
    <w:p>
      <w:pPr/>
      <w:r>
        <w:rPr/>
        <w:t xml:space="preserve">“Jedná se o pilotní projekt a my uvidíme, jaký bude zájem. Prozatím bychom se přidrželi hybridních vozidel, protože chceme podporovat ekologickou dopravu a myslíme si, že je to krok správným směrem. Uvidíme ale, jaký bude ohlas ze strany veřejnosti.”</w:t>
      </w:r>
    </w:p>
    <w:p>
      <w:pPr/>
      <w:r>
        <w:rPr/>
        <w:t xml:space="preserve">Žádat o podporu mohou fyzické i právnické osoby s trvalým pobytem nebo sídlem ve Frýdku-Místku po dobu nejméně jednoho roku před podáním žádosti a musí být prvními majiteli vozidla. Maximální výše dotace činí 10 procent z pořizovací ceny automobilu, nejvýše však 75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41/frydekmistek-podpori-nakup-hybridnich-aut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2026-07-04T02:05:04+02:00</dcterms:created>
  <dcterms:modified xsi:type="dcterms:W3CDTF">2026-07-04T02:05:04+02:00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