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schválila další podporu podnikatelům, dostanou 43 milionů korun</w:t>
      </w:r>
    </w:p>
    <w:p>
      <w:pPr/>
      <w:r>
        <w:rPr/>
        <w:t xml:space="preserve">Ostravští zastupitelé rozhodli o další finanční pomoci podnikatelům. V rámci Programu 100 si mohli od 1. do 13. května zažádat o finanční dar až do výše 100 tisíc korun. </w:t>
      </w: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 </w:t>
      </w: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 </w:t>
      </w: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 </w:t>
      </w: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419/ostrava-schvalila-dalsi-podporu-podnikatelum-dostanou-43-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2026-07-10T09:44:32+02:00</dcterms:created>
  <dcterms:modified xsi:type="dcterms:W3CDTF">2026-07-10T09:44:32+02:00</dcterms:modified>
</cp:coreProperties>
</file>

<file path=docProps/custom.xml><?xml version="1.0" encoding="utf-8"?>
<Properties xmlns="http://schemas.openxmlformats.org/officeDocument/2006/custom-properties" xmlns:vt="http://schemas.openxmlformats.org/officeDocument/2006/docPropsVTypes"/>
</file>