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si lidé připomněli památku rodáka a válečného pilota RAF Antonína Velebnovského</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{{souvisejici-clanek-"11000020926"}}</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{{souvisejici-clanek-"11000020849"}}</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{{souvisejici-clanek-"11000020706"}}</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{{souvisejici-clanek-"11000020321"}}</w:t>
      </w:r>
    </w:p>
    <w:p>
      <w:pPr/>
      <w:r>
        <w:rPr/>
        <w:t xml:space="preserve">{{souvisejici-clanek-"11000019877"}}</w:t>
      </w:r>
    </w:p>
    <w:p>
      <w:pPr/>
      <w:r>
        <w:rPr/>
        <w:t xml:space="preserve">{{souvisejici-clanek-"11000019153"}}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1156/v-jablunkove-si-lide-pripomneli-pamatku-rodaka-a-valecneho-pilota-raf-antonina-velebn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2026-06-24T01:37:30+02:00</dcterms:created>
  <dcterms:modified xsi:type="dcterms:W3CDTF">2026-06-24T01:37:30+02:00</dcterms:modified>
</cp:coreProperties>
</file>

<file path=docProps/custom.xml><?xml version="1.0" encoding="utf-8"?>
<Properties xmlns="http://schemas.openxmlformats.org/officeDocument/2006/custom-properties" xmlns:vt="http://schemas.openxmlformats.org/officeDocument/2006/docPropsVTypes"/>
</file>