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aplikovala postřik proti komárům, použit byl nový prostředek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</w:t>
      </w:r>
      <w:r>
        <w:rPr>
          <w:i w:val="1"/>
          <w:iCs w:val="1"/>
        </w:rPr>
        <w:t xml:space="preserve">„Nechali jsme zpracovat stanovisko hygieny už v minulém týdnu v rámci problematiky komárů. Bylo nám sděleno, že bychom měli jednat jak podle zákona o obcích, tak podle zákona o veřejném zdraví a samozřejmě se zákonem o ochraně včel. To jsme konzultovali s odbornou firmou, která nám přislíbila, že postřik provede.“ </w:t>
      </w:r>
    </w:p>
    <w:p>
      <w:pPr/>
      <w:r>
        <w:rPr/>
        <w:t xml:space="preserve">Nově byl použit jiný přípravek než v minulosti. Firma tedy aplikovala prostředek Aspermet, který by měl být méně dýmit. Vynechána byla místa, kde si lidé postřik nepřáli, přirozené biotopy a také místa, kde jsou umístěna včelstva.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189/studenka-aplikovala-postrik-proti-komarum-pouzit-byl-novy-prostre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2026-08-20T07:40:23+02:00</dcterms:created>
  <dcterms:modified xsi:type="dcterms:W3CDTF">2026-08-20T07:40:23+02:00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