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konaly country svatba u kukuřičného pole a kamenná svatba stvrzující 65 let společného života</w:t>
      </w:r>
    </w:p>
    <w:p>
      <w:pPr/>
      <w:r>
        <w:rPr/>
        <w:t xml:space="preserve">Hned dvě zajímavé a netradiční svatby se konaly uplynulou sobotu v Rychvaldě. Ta první byla ve stylu country. Petr Pavelka si bral Moniku Vajdovou pod širým nebem. </w:t>
      </w: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1403/v-rychvalde-se-konaly-country-svatba-u-kukuricneho-pole-a-kamenna-svatba-stvrzujici-65-let-spolecn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2026-07-21T12:21:55+02:00</dcterms:created>
  <dcterms:modified xsi:type="dcterms:W3CDTF">2026-07-21T12:21:55+02:00</dcterms:modified>
</cp:coreProperties>
</file>

<file path=docProps/custom.xml><?xml version="1.0" encoding="utf-8"?>
<Properties xmlns="http://schemas.openxmlformats.org/officeDocument/2006/custom-properties" xmlns:vt="http://schemas.openxmlformats.org/officeDocument/2006/docPropsVTypes"/>
</file>