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Paměť Poruby. Žáci a studenti sepsali vzpomínky pamětníků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782/pamet-poruby-zaci-a-studenti-sepsali-vzpominky-pame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