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jméno pro nejvýkonnější superpočítač v Česku. Pyšnit se jím bude VŠB-TUO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než původní počítač Anselm a hlavně bude mít zcela nové technologie, což vlastně umožní mnohem náročnější počty, řešit nové problémy a tím pádem přilákat mnohem více uživatelů.”</w:t>
      </w:r>
    </w:p>
    <w:p>
      <w:pPr/>
      <w:r>
        <w:rPr/>
        <w:t xml:space="preserve">Spektrum využití superpočítačů je opravdu široké. Nejčastěji se používají v oblasti výzkumu nových materiálů a hodně také na vývoj léčiv,  nebo simulování problémů v klimatologii. Neslouží ale jen vědě. </w:t>
      </w:r>
      <w:r>
        <w:rPr>
          <w:b w:val="1"/>
          <w:bCs w:val="1"/>
        </w:rPr>
        <w:t xml:space="preserve">I</w:t>
      </w:r>
      <w:r>
        <w:rPr/>
        <w:t xml:space="preserve">T4Innovations firmám a veřejným institucím  poskytuje i výpočetní čas.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 národního superpočítačového centra: </w:t>
      </w:r>
      <w:r>
        <w:rPr/>
        <w:t xml:space="preserve">“My standardně naše superpočítače poskytujeme prostřednictvím takzvaného otevřeného přístupu kdy  vědci, případně vědci ve spolupráci s podniky si můžou žádat o výpočetní kapacity na řešení jejich projektů, ale je tady i možnost pochopitelně si pronajmout ten výpočetní čas. V takovém případě je možné, aby nás dotyčný kontaktoval.”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</w:t>
      </w:r>
      <w:r>
        <w:rPr>
          <w:b w:val="1"/>
          <w:bCs w:val="1"/>
        </w:rPr>
        <w:t xml:space="preserve">: </w:t>
      </w:r>
      <w:r>
        <w:rPr/>
        <w:t xml:space="preserve">“My jsme vypsali soutěž na jméno našeho nového superpočítače. 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 jako a kromě toho to je patronka těch havířů a prostě nejen havířů, ale taktéž třeba i matematiků.”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Hodnotit se bude zejména originalita a výstižnost. Preferováno pak bude jméno, které zní dobře jak v českém tak anglickém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892/hleda-se-jmeno-pro-nejvykonnejsi-superpocitac-v-cesku-pysnit-se-jim-bude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2026-07-14T06:32:17+02:00</dcterms:created>
  <dcterms:modified xsi:type="dcterms:W3CDTF">2026-07-14T06:32:17+02:00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