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schválila rozpočet pro rok 2021. Bude vyrovnaný</w:t>
      </w:r>
    </w:p>
    <w:p>
      <w:pPr/>
      <w:r>
        <w:rPr/>
        <w:t xml:space="preserve">Ostrava bude v příštím roce hospodařit s devíti miliardami a devíti sty miliony korun. 25 procent z této částky půjde na investice. Kvůli koronavirové krizi jsou předpokládané celkové příjmy o miliardu nižší než loni.  Rozpočet je vyrovnaný.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"Při té míře nejistoty jsme k tvorbě rozpočtu přistoupili konzervativně. Nicméně s cílem neomezovat investiční výstavbu a pokračovat v projektech, které jsou pro nás důležité."</w:t>
      </w:r>
    </w:p>
    <w:p>
      <w:pPr/>
      <w:r>
        <w:rPr/>
        <w:t xml:space="preserve">S ohledem na snížení příjmů ze sdílených daní bude Ostrava šetřit především na běžných  výdajích. Jsou navrhovány ve výši 7,4 miliardy. Proti letošku se snižují o 43 milionů korun. Na investice má město připraveno i s úvěrem téměř 3,5 miliardy korun. </w:t>
      </w:r>
    </w:p>
    <w:p>
      <w:pPr/>
      <w:r>
        <w:rPr>
          <w:b w:val="1"/>
          <w:bCs w:val="1"/>
        </w:rPr>
        <w:t xml:space="preserve">Zuzana Bajgarová, náměstkyně primátora: </w:t>
      </w:r>
      <w:r>
        <w:rPr/>
        <w:t xml:space="preserve">"Zhruba 22 procent z kapitálového rozpočtu jde do vodohospodářských staveb, další nemalou položkou je 14 procentní podíl kultury, výrazně je zastoupené zdravotnictví, parkování, komunikace a chodníky." </w:t>
      </w:r>
    </w:p>
    <w:p>
      <w:pPr/>
      <w:r>
        <w:rPr/>
        <w:t xml:space="preserve">Pro městské obvody se v rozpočtu počítá s částkou 1,7 miliardy korun, což je o 205 milionů  korun méně než letos. Z důvodu úspor se nebudou vkládat další prostředky do fondů pro rozvoj městské nemocnice a na koncertní halu.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207/ostrava-schvalila-rozpocet-pro-rok-2021-bude-vyrovn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2026-07-10T14:37:49+02:00</dcterms:created>
  <dcterms:modified xsi:type="dcterms:W3CDTF">2026-07-10T14:37:49+02:00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