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18.12.2020, 19:29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Covid zamíchal rozpočtem. Velké investiční akce obvodu Moravská Ostrava a Přívoz přesto budou pokračovat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“Již v roce 2020 přinesla své ovoce v tom, že jsou zde příjmy z velice příznivého nájmu pro naše občany a tím také dochází k tomu, že výpadky z hazardu, příjmy, nahrazujeme vlastně příjmy z bytového fondu, což si myslím, že je dobrý směr a tímto by jsme se měli dále také ubírat.”</w:t>
      </w:r>
    </w:p>
    <w:p>
      <w:pPr/>
      <w:r>
        <w:rPr>
          <w:i w:val="1"/>
          <w:iCs w:val="1"/>
        </w:rPr>
        <w:t xml:space="preserve">Obvod bude pokračovat i v opravách škol a školek. Co se týká ozdravných pobytů dětí, ty zatím zůstanou v režii školských zařízení. 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“Takovou mantrou opozice je, že nedáváme peníze na ozdravné pobyty dětí, což si úplně nemyslím, že je správné tvrzení. Protože všechny MŠ i ZŠ si mohou požádat o dotaci. Potom se krátily i dotace na kulturu, sport a jiné aktivity, které jsou vyhlášeny dotačním programem.”</w:t>
      </w:r>
    </w:p>
    <w:p>
      <w:pPr/>
      <w:r>
        <w:rPr>
          <w:i w:val="1"/>
          <w:iCs w:val="1"/>
        </w:rPr>
        <w:t xml:space="preserve">Klesly z 3 milionů 700 tisíc na 2 a půl milionů korun.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“Protože v této výši byly vlastně i ty prostředky čerpány. Stalo se nám, že nám některé subjekty, které si požádaly o dotaci, příspěvky vrátily, protože skutečně ty jejich projekty nebylo možné zrealizovat.“</w:t>
      </w:r>
    </w:p>
    <w:p>
      <w:pPr/>
      <w:r>
        <w:rPr>
          <w:i w:val="1"/>
          <w:iCs w:val="1"/>
        </w:rPr>
        <w:t xml:space="preserve">Schválený rozpočet není konečný. V průběhu roku se ještě může měnit podle aktuálních potřeb.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3325/covid-zamichal-rozpoctem-velke-investicni-akce-obvodu-moravska-ostrava-a-privoz-presto-budou-pokrac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2026-06-15T04:47:21+02:00</dcterms:created>
  <dcterms:modified xsi:type="dcterms:W3CDTF">2026-06-15T04:47:21+02:00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