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investuje do komunikací, sportu a uvažuje o koupi hotelu</w:t>
      </w:r>
    </w:p>
    <w:p>
      <w:pPr/>
      <w:r>
        <w:rPr/>
        <w:t xml:space="preserve">Rozpočet Čeladné na rok 2021 se pohybuje zhruba ve výši 49 milionů korun. Podle prognóz ministerstva financí musí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 </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i nafukovací hala. Zajímavý investiční projekt se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w:t>
      </w:r>
    </w:p>
    <w:p>
      <w:pPr/>
      <w:r>
        <w:rPr/>
        <w:t xml:space="preserve">S velkou budovou v centru by obec navíc získala i sál pro pořádání kulturních akcí, součástí je i zahrada s bazénem, který by mohly využívat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3609/celadna-investuje-do-komunikaci-sportu-a-uvazuje-o-koupi-ho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2026-07-10T01:12:34+02:00</dcterms:created>
  <dcterms:modified xsi:type="dcterms:W3CDTF">2026-07-10T01:12:34+02:00</dcterms:modified>
</cp:coreProperties>
</file>

<file path=docProps/custom.xml><?xml version="1.0" encoding="utf-8"?>
<Properties xmlns="http://schemas.openxmlformats.org/officeDocument/2006/custom-properties" xmlns:vt="http://schemas.openxmlformats.org/officeDocument/2006/docPropsVTypes"/>
</file>