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26.5.2021,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Nošovická průmyslová zóna se napojí na dálnici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„My doufáme, že se  všechny dotčené orgány s tímto vypořádají, i s námitkami, které se  objevují. Také bychom potřebovali výpomoc MS kraje, aby se v případě různých  odvolání rychle vyjádřil.“</w:t>
      </w:r>
    </w:p>
    <w:p>
      <w:pPr/>
      <w:r>
        <w:rPr/>
        <w:t xml:space="preserve">Proč má na tom obec tak velký zájem?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„V dnešní  koronavirové krizi jezdí mnoho obyvatel měst směrem do hor přes Nošovice. A  hlavně by se odklonila kamionová doprava z pivovaru ze společnosti  Hyundai.“</w:t>
      </w:r>
    </w:p>
    <w:p>
      <w:pPr/>
      <w:r>
        <w:rPr/>
        <w:t xml:space="preserve">V současnosti projíždí Nošovicemi neuvěřitelných 13  tisíc vozidel, a tak obyvatelé věří, že se toto napojení postaví co nejdříve.  Podle vyjádření Ředitelství silnic a dálnic by se mohlo s výstavbou začít  po dokončení obchvatu Frýdku-Místku, tedy zhruba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5717/nosovicka-prumyslova-zona-se-napoji-na-da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2026-05-31T17:26:39+02:00</dcterms:created>
  <dcterms:modified xsi:type="dcterms:W3CDTF">2026-05-31T17:26:39+02:00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