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kongres (1820) připomíná pamětní deska v místě, kde kancléř Metternich vedl jednání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stranami.“</w:t>
      </w:r>
    </w:p>
    <w:p>
      <w:pPr/>
      <w:r>
        <w:rPr/>
        <w:t xml:space="preserve">Kongres  řídil rakouský kancléř Metternich v Paláci Sedlnických, který  už dnes v centru Opavy nestojí. Rakouský  císař František I.,  pruský korunní princ Vilém IV. a ruský  car Alexandr I.  bydleli poblíž a na jednání sem docházeli.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66/opavsky-kongres-1820-pripomina-pametni-deska-v-miste-kde-kancler-metternich-vedl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2026-07-05T04:56:58+02:00</dcterms:created>
  <dcterms:modified xsi:type="dcterms:W3CDTF">2026-07-05T04:56:58+02:00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