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větší kontrolu nad energetickými projekty a zakládá s ČEZ ESCO nový podnik</w:t>
      </w:r>
    </w:p>
    <w:p>
      <w:pPr/>
      <w:r>
        <w:rPr/>
        <w:t xml:space="preserve">Město musí být soběstačné a mít možnost některé energetické projekty si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"Centrální zásobování teplem má význam v našem regionu obzvlášť. Určitě je lepší tlačit na současného výrobce tepla, aby ekologizoval svůj provoz, což on minimálně v tuto chvíli dělá a nějakým způsobem se zavazuje i do budoucna.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A ty naše hlavní obavy ty jsou z toho, že jestliže se část města odpojí od centrálního zásobování teplem, nutně tady budou vznikat nějaké nové investice. Město bude rozkopané, budou problémy s dopravou a v konečné fázi se všechny tyto náklady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w:t>
      </w:r>
      <w:r>
        <w:rPr/>
        <w:t xml:space="preserve"> "My potřebujeme řešit energetiku nejen co se týče teplárenství, ale energetiku co se týče elektrické energie. Máme tady velmi náročné budovy na provoz. Potřebujeme hledat úspory a hledat inteligentní řešení. My prostě nemůžeme čekat na to, až se něco stane a někde někdo zavelí. Primárním cílem města není odpojovat a rozbíjet síť centrálního zásobování teplem, ba naopak ji stabilizovat. Město vždy bude teplo soutěžit, takže pokud Veolie modernizuje, zvládne odchod od uhlí, pokud bude mít dobrou cenu tepla, tak není důvod s ní dále nespolupracovat. Já si myslím, že se komíny stavět nebudou, určitě ne v dohledné době a určitě ne tak, jak to bylo v těch letácích v každém vchodě. My tím, že deklarujeme, že chceme zachovat ten systém toho zásobování teplem, tak lidé mohou být v klidu, protože Havířov vlastní sekundární rozvody tepla, o které se stará HTS a Havířov v tom má 340 milionů korun. Ale v konečném okamžiku, když se vám odběratelé odpojují, tak ze dne na den má ta daná odpojená soustava hodnotu nula a my potřebujeme těmto zákazníkům nabízet alternativy tak, aby mohli a byli připraveni dále zůstat zákazníky HTS a ta jim bude schopna prostřednictvím tohoto společného podniku s ČEZ ESCO nabídnout jinou alternativu.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202/havirov-chce-vetsi-kontrolu-nad-energetickymi-projekty-a-zaklada-s-cez-esco-novy-p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2026-07-18T05:53:50+02:00</dcterms:created>
  <dcterms:modified xsi:type="dcterms:W3CDTF">2026-07-18T05:53:50+02:00</dcterms:modified>
</cp:coreProperties>
</file>

<file path=docProps/custom.xml><?xml version="1.0" encoding="utf-8"?>
<Properties xmlns="http://schemas.openxmlformats.org/officeDocument/2006/custom-properties" xmlns:vt="http://schemas.openxmlformats.org/officeDocument/2006/docPropsVTypes"/>
</file>