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v MSK nevyhledávají jen hory, ale také technické památky</w:t>
      </w:r>
    </w:p>
    <w:p>
      <w:pPr/>
      <w:r>
        <w:rPr/>
        <w:t xml:space="preserve">Moravskoslezský kraj nabízí turistům mnoho zajímavých cílů nejen na horách, ale i v nížinách a také přímo v centrech měst. </w:t>
      </w: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t xml:space="preserve">{{souvisejici-clanek-"11000027272"}}</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287/turiste-v-msk-nevyhledavaji-jen-hory-ale-take-technicke-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2026-07-09T10:13:52+02:00</dcterms:created>
  <dcterms:modified xsi:type="dcterms:W3CDTF">2026-07-09T10:13:52+02:00</dcterms:modified>
</cp:coreProperties>
</file>

<file path=docProps/custom.xml><?xml version="1.0" encoding="utf-8"?>
<Properties xmlns="http://schemas.openxmlformats.org/officeDocument/2006/custom-properties" xmlns:vt="http://schemas.openxmlformats.org/officeDocument/2006/docPropsVTypes"/>
</file>