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dotace na kulturní akce budou moci ve Frýdku-Místku žádat i mimoměstské spolky</w:t>
      </w:r>
    </w:p>
    <w:p>
      <w:pPr/>
      <w:r>
        <w:rPr/>
        <w:t xml:space="preserve">Ve Frýdku-Místku se během roku odehrává řada kulturních akcí.  Ne vždy je ale pořádají zdejší spolky. V minulosti tak kvůli tomu nemusely  získat dotaci z města. To by se mělo ale od příštího roku změnit.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"Jsem moc rád, že se nám podařilo splnit jeden z cílů,  který jsme si vytyčili a tím je smysluplná a spravedlivá podpora kultury. Rada  města schválila program podpory kulturních aktivit na rok 2022, který je jednak  otevřen nově všem žadatelům, nejenom z města Frýdku-Místku, ale i z okolí.  Podmínkou je, pouze aby se ta podpořená aktivita dělala ve Frýdku-Místku a měl  by sjednotit všechny formy kulturní podpory, které tady ve městě jsou."</w:t>
      </w:r>
    </w:p>
    <w:p>
      <w:pPr/>
      <w:r>
        <w:rPr/>
        <w:t xml:space="preserve">Cílem je, aby byly podmínky pro všechny stejné a tím i  spravedlivé.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"Znamená to to, že v podstatě už od října v průběhu  celého roku budou moci žadatelé podávat žádosti o dotace, které budou průběžně  hodnoceny. Vždy co tři měsíce je zastupitelstvo bude schvalovat. A důležité je,  že pro všechny se tak bude dít za stejných podmínek. Vše to bude evaluováno a  schvalováno kulturní komisí. Následně radou města a zastupitelstvem."</w:t>
      </w:r>
    </w:p>
    <w:p>
      <w:pPr/>
      <w:r>
        <w:rPr/>
        <w:t xml:space="preserve">Díky těmto úpravám by se tak ve městě mohla ještě zvětšit  nabídka kulturních akcí, které spolky nabízejí.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"Těch subjektů je několik desítek. Jen doteď byla podpora  kultury dost roztříštěná. Podporovalo se to z různých finančních zdrojů.  Něco schvalovalo zastupitelstvo, něco rada, něco šlo z dotační rezervy primátora.  Nebyl v tom žádný jednotný systém, který jsme teď právě zavedli."</w:t>
      </w:r>
    </w:p>
    <w:p>
      <w:pPr/>
      <w:r>
        <w:rPr/>
        <w:t xml:space="preserve">Na podporu kulturních aktivit v roce 2022 má město v plánu  vyčlenit 5,8 milionu korun. Maximální výše dotace může být až 800 tisíc.  Minimální výše není stanovena.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382/o-dotace-na-kulturni-akce-budou-moci-ve-frydkumistku-zadat-i-mimomestske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2026-07-06T15:37:43+02:00</dcterms:created>
  <dcterms:modified xsi:type="dcterms:W3CDTF">2026-07-06T15:37:43+02:00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