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Razie na českém a polském území rozbila drogový gang</w:t>
      </w:r>
    </w:p>
    <w:p>
      <w:pPr/>
      <w:r>
        <w:rPr/>
        <w:t xml:space="preserve">Ti zmapovali, jak se z Polska do Moravskoslezského kraje přivážely léky, ze kterých se u nás vyráběly drogy. Metamfetamin se následně distribuoval na českém území, ale část produkce putovala i k narkomanům v Polsku. </w:t>
      </w: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p>
      <w:pPr/>
      <w:r>
        <w:rPr/>
        <w:t xml:space="preserve">{{souvisejici-clanek-"11000027599"}}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627/razie-na-ceskem-a-polskem-uzemi-rozbila-drogovy-g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2026-07-09T13:45:44+02:00</dcterms:created>
  <dcterms:modified xsi:type="dcterms:W3CDTF">2026-07-09T13:45:44+02:00</dcterms:modified>
</cp:coreProperties>
</file>

<file path=docProps/custom.xml><?xml version="1.0" encoding="utf-8"?>
<Properties xmlns="http://schemas.openxmlformats.org/officeDocument/2006/custom-properties" xmlns:vt="http://schemas.openxmlformats.org/officeDocument/2006/docPropsVTypes"/>
</file>