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začala v Havířově-Prostřední Suché s demolicí čtyř domů</w:t>
      </w:r>
    </w:p>
    <w:p>
      <w:pPr/>
      <w:r>
        <w:rPr/>
        <w:t xml:space="preserve">Několikatýdenní přípravy vyústily v demolici prvního ze čtyř domů v Havířově-Prostřední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37/spolecnost-heimstaden-zacala-v-haviroveprostredni-suche-s-demolici-ctyr-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2026-07-16T05:32:15+02:00</dcterms:created>
  <dcterms:modified xsi:type="dcterms:W3CDTF">2026-07-16T05:32:15+02:00</dcterms:modified>
</cp:coreProperties>
</file>

<file path=docProps/custom.xml><?xml version="1.0" encoding="utf-8"?>
<Properties xmlns="http://schemas.openxmlformats.org/officeDocument/2006/custom-properties" xmlns:vt="http://schemas.openxmlformats.org/officeDocument/2006/docPropsVTypes"/>
</file>