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 mělo vloni nejnižší nezaměstnanost v kraji, oscilovala kolem 3%</w:t>
      </w:r>
    </w:p>
    <w:p>
      <w:pPr/>
      <w:r>
        <w:rPr/>
        <w:t xml:space="preserve">Jarní  lockdown loňského roku a přibývající protiepidemická opatření  komplikovala život firmám i živnostníkům. Restaurace,  hotely, kosmetické či kadeřnické salony musely zásadně omezit  svůj provoz. Přesto ale do evidence Úřadu práce lidé  těchto profesí nepřicházeli. V zaměstnání je udržel vládní  program Antivirus.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„Já  věřím tomu,  že  program na částečnou  úhradu mezd pro zaměstnance zaměstnavatelů, kteří jsou na  překážkách, je pomohl udržet v pracovních poměrech.“</w:t>
      </w:r>
    </w:p>
    <w:p>
      <w:pPr/>
      <w:r>
        <w:rPr/>
        <w:t xml:space="preserve">Počet  lidí bez práce dosáhl vloni v Moravskoslezském kraji až 5,9%. A  byl to nejhorší výsledek v republice. Ovšem na Opavsku  nezaměstnanost oscilovala okolo 3%. Nízká  nezaměstnanost naopak způsobila nedostatek lidí v pracovním  procesu.</w:t>
      </w:r>
    </w:p>
    <w:p>
      <w:pPr/>
      <w:r>
        <w:rPr>
          <w:b w:val="1"/>
          <w:bCs w:val="1"/>
        </w:rPr>
        <w:t xml:space="preserve">Lukáš  Pavelek, předseda představenstva OHK Opava: „</w:t>
      </w:r>
      <w:r>
        <w:rPr/>
        <w:t xml:space="preserve">  A do toho vstoupil  druhý extrémní problém, navýšení ceny materiálu a totální  nedostatek veškerého materiálu.“</w:t>
      </w:r>
    </w:p>
    <w:p>
      <w:pPr/>
      <w:r>
        <w:rPr/>
        <w:t xml:space="preserve">Přesto  firmy dokázaly udržet výrobu i zaměstnance a během této nelehké  doby registroval opavský Úřad práce ČR od letních měsíců do  podzimu nejnižší nezaměstnanost v historii své existence, která  klesla až na 2,7%.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344/opavsko-melo-vloni-nejnizsi-nezamestnanost-v-kraji-oscilovala-kolem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2026-06-27T10:42:27+02:00</dcterms:created>
  <dcterms:modified xsi:type="dcterms:W3CDTF">2026-06-27T10:42:27+02:00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