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 letos nabízí lidem dotace na pořízení hybridních aut</w:t>
      </w:r>
    </w:p>
    <w:p>
      <w:pPr/>
      <w:r>
        <w:rPr/>
        <w:t xml:space="preserve">V dnešní době roste stále více zájem o auta s hybridním  pohonem. V posledním čtvrtletí vylétl jejich prodej v České republice  meziročně o 68 procent. Po benzínu jde podle analytiků nyní o druhé  nejprodávanější auto.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Ve Frýdku-Místku už několik let běží program v rámci kterého  město přispívá lidem na pořízení hybridních automobilů. A nevynechal se ani  letos. </w:t>
      </w:r>
    </w:p>
    <w:p>
      <w:pPr/>
      <w:r>
        <w:rPr>
          <w:b w:val="1"/>
          <w:bCs w:val="1"/>
        </w:rPr>
        <w:t xml:space="preserve">Jakub Míček, náměstek primátora Frýdku-Místku/ANO/:</w:t>
      </w:r>
      <w:r>
        <w:rPr/>
        <w:t xml:space="preserve"> "Jedním z kroků ke snížení negativních vlivů dopravy na  životní prostředí a zdraví obyvatel je snížení emisí a také zmenšení hlukové zátěže.  Město Frýdek-Místek proto vypisuje dotační program podpory pořízení hybridních  automobilů, kdy fyzické a právnické osoby z Frýdku-Místku se mohou v tomto  programu ucházet o finance. Letos se o dotaci ucházelo 12 vlastníků automobilů  s hybridním pohonem a všem žádostem město vyhovělo a vyplatilo dohromady částku  téměř 900 tisíc korun."</w:t>
      </w:r>
    </w:p>
    <w:p>
      <w:pPr/>
      <w:r>
        <w:rPr/>
        <w:t xml:space="preserve">Žadatel musí mít trvalé bydliště nebo sídlit na území města  alespoň jeden rok, také musí být prvním vlastníkem vozidla. </w:t>
      </w:r>
    </w:p>
    <w:p>
      <w:pPr/>
      <w:r>
        <w:rPr>
          <w:b w:val="1"/>
          <w:bCs w:val="1"/>
        </w:rPr>
        <w:t xml:space="preserve">Jakub Míček, náměstek primátora Frýdku-Místku/ANO/:</w:t>
      </w:r>
      <w:r>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396/frydekmistek-i-letos-nabizi-lidem-dotace-na-porizeni-hybridnich-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2026-07-01T02:36:01+02:00</dcterms:created>
  <dcterms:modified xsi:type="dcterms:W3CDTF">2026-07-01T02:36:01+02:00</dcterms:modified>
</cp:coreProperties>
</file>

<file path=docProps/custom.xml><?xml version="1.0" encoding="utf-8"?>
<Properties xmlns="http://schemas.openxmlformats.org/officeDocument/2006/custom-properties" xmlns:vt="http://schemas.openxmlformats.org/officeDocument/2006/docPropsVTypes"/>
</file>