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podpoří rekonstrukce památek. Dotaci dostane 12 žadatelů</w:t>
      </w:r>
    </w:p>
    <w:p>
      <w:pPr/>
      <w:r>
        <w:rPr/>
        <w:t xml:space="preserve">Domy ve stylu Sorela v Porubě, Štítová kolonie a nebo pavlačový dům ve tvaru U tedy U- haus ve Vítkovicích - to jsou stavby, které mohou v letošním roce počítat s dotací města na rekonstrukci. Jsou totiž natolik zajímavé a pro město důležité, že mohou jejich majitelé čerpat peníze z dotace na obnovu.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„Je patrné, že v posledních letech se program stal známější a využívá jej více majitelů nemovitostí,  za což jsme velmi ráda, protože denně můžeme vidět jeho pozitivní dopady."</w:t>
      </w:r>
    </w:p>
    <w:p>
      <w:pPr/>
      <w:r>
        <w:rPr/>
        <w:t xml:space="preserve">Dotace se týká také sakrálních staveb. Z šesti žadatelů bude vyhověno pěti a celkem je výše dotace téměř půl druhého milionu korun. Peníze dostane například farnost v Polance nad Odrou, kde chtějí opravit vitráže. </w:t>
      </w:r>
    </w:p>
    <w:p>
      <w:pPr/>
      <w:r>
        <w:rPr>
          <w:b w:val="1"/>
          <w:bCs w:val="1"/>
        </w:rPr>
        <w:t xml:space="preserve">Zdeněk Pluhař, farář kostel sv. Anny Polanka nad Odrou: </w:t>
      </w:r>
      <w:r>
        <w:rPr/>
        <w:t xml:space="preserve">"Máme tam okna ve velmi špatném stavu. Z těch betonových sloupů, co jsou v těch oknech, vypadávají kameny. Stačí trochu větší vítr a ty kameny jsou pryč." </w:t>
      </w:r>
    </w:p>
    <w:p>
      <w:pPr/>
      <w:r>
        <w:rPr/>
        <w:t xml:space="preserve">Na městské byty mohou majitelé dostat až milion a půl a na sakrální stavby je to 500 tisíc korun. Maximum je ale polovina nákladů.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"V letošním roce jsme  nebyli schopni vyhovět všem žadatelům, s ohledem na významnost předložených žádostí jsme se  však rozhodli alespoň zvýšit původně schválenou alokaci 5 milionů korun o více než 2,3 milionu  korun, abychom mohli podpořit všechny žádosti, které doporučila komise.“</w:t>
      </w:r>
    </w:p>
    <w:p>
      <w:pPr/>
      <w:r>
        <w:rPr/>
        <w:t xml:space="preserve">Celkově dostanou žadatelé v letošním roce asi 7 milionů 300 tisíc korun na 12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529/ostrava-opet-podpori-rekonstrukce-pamatek-dotaci-dostane-12-zad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2026-07-14T23:26:02+02:00</dcterms:created>
  <dcterms:modified xsi:type="dcterms:W3CDTF">2026-07-14T23:26:02+02:00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