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krajský projekt LIFE COALA</w:t>
      </w:r>
    </w:p>
    <w:p>
      <w:pPr/>
      <w:r>
        <w:rPr/>
        <w:t xml:space="preserve">Lidé v MS kraji mají obavu z přechodu k uhlíkové neutralitě.  Vyplývá to z výsledků rozsáhlého průzkumu Institutu 2050. Moravskoslezský kraj  si také jako první region v republice nechal vypracovat Adaptační strategii na  dopady změny klimatu.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„My se snažíme ukázat,  že transformace je klíčovým slovem tohoto kraje. Vnmímáme, že se tomu musíme  věnovat, protože lidé odcházejí pryč z důvodu, že vnímají negativní vliv  životního prostředí.“</w:t>
      </w:r>
    </w:p>
    <w:p>
      <w:pPr/>
      <w:r>
        <w:rPr/>
        <w:t xml:space="preserve">Na tuto strategii navázal projekt zacílený na posilování  odolnosti LIFE COALA spolufinancovaný z EU, který s rozpočtem 400 milionů korun  pomáhá na krajské i místní úrovni lépe reagovat na změny klimatu.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„Chceme ty peníze  investovat z 20 procent do staveb, rekonstrukcí a podobně, a z 80  procent do připravovaných projektů. Naším cílem je, abychom ten region  vytvářeli pozitivní a hlavně v rámci životního prostředí se tady lidé  cítili bezpečně, měli tady práci.“</w:t>
      </w:r>
    </w:p>
    <w:p>
      <w:pPr/>
      <w:r>
        <w:rPr/>
        <w:t xml:space="preserve">A co si vlastně lidé o transformaci kraje myslí?</w:t>
      </w:r>
    </w:p>
    <w:p>
      <w:pPr/>
      <w:r>
        <w:rPr>
          <w:b w:val="1"/>
          <w:bCs w:val="1"/>
        </w:rPr>
        <w:t xml:space="preserve">Jan Krajhanzl, vedoucí výzkumného týmu:</w:t>
      </w:r>
      <w:r>
        <w:rPr/>
        <w:t xml:space="preserve"> „MS veřejnost má  blízko k ochraně přírody a volá po aktivnější ochraně klimatu, zároveň ale  prožívá řadu obav.“</w:t>
      </w:r>
    </w:p>
    <w:p>
      <w:pPr/>
      <w:r>
        <w:rPr/>
        <w:t xml:space="preserve">Projekt Life Coala bude trvat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892/energie-a-kraj-predstavujeme-krajsky-projekt-life-co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