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svém programovém prohlášení sází nové vedení vítkovické radnice na bezpečnost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4931/ve-svem-programovem-prohlaseni-sazi-nove-vedeni-vitkovicke-radnice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