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Slavný barber navštívil Dětský domov v Opavě</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 </w:t>
      </w:r>
      <w:r>
        <w:rPr/>
        <w:t xml:space="preserve">„Lukáš byl zlaté dítě  a myslím si, že od dětství měl dobré povahové vlastnosti.“</w:t>
      </w:r>
    </w:p>
    <w:p>
      <w:pPr/>
      <w:r>
        <w:rPr/>
        <w:t xml:space="preserve">Mezi klienty Lukáše Vlačuhy patří například Jaromír Jágr,  Andrej Babiš a řada dalších významných osobností.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016/slavny-barber-navstivil-detsky-domov-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2026-06-17T20:31:47+02:00</dcterms:created>
  <dcterms:modified xsi:type="dcterms:W3CDTF">2026-06-17T20:31:47+02:00</dcterms:modified>
</cp:coreProperties>
</file>

<file path=docProps/custom.xml><?xml version="1.0" encoding="utf-8"?>
<Properties xmlns="http://schemas.openxmlformats.org/officeDocument/2006/custom-properties" xmlns:vt="http://schemas.openxmlformats.org/officeDocument/2006/docPropsVTypes"/>
</file>