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pilotního projektu zavítají děti z Ostravy-Vítkovic na magistrát i na dispečink IZS</w:t>
      </w:r>
    </w:p>
    <w:p>
      <w:pPr/>
      <w:r>
        <w:rPr/>
        <w:t xml:space="preserve"> Návštěvě soudního jednání předcházela beseda ve škole. V ní se děti dozvěděly nejen to, jak se mají v soudní síni chovat a co se v ní bude řešit, ale i třeba to, že budou procházet bezpečnostním rámem. Je to start nového pilotního projektu, kdy prevence práva by dle místostarostky mohla být součástí výuky.</w:t>
      </w:r>
    </w:p>
    <w:p>
      <w:pPr>
        <w:pStyle w:val="Heading3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6293/v-ramci-pilotniho-projektu-zavitaji-deti-z-ostravyvitkovic-na-magistrat-i-na-dispecink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2026-04-18T11:43:59+02:00</dcterms:created>
  <dcterms:modified xsi:type="dcterms:W3CDTF">2026-04-18T11:43:59+02:00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