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 Milady Horákové v Ostravě projde revitalizací. Jeho středobodem bude vodní prvek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“V rámci výběrové komise jsme se snažili vybrat návrh, který by byl architektonicky co nejvíce hodnotný, aby také mohl sloužit lidem, aby doplňoval projekt revitalizace, nebo rekonstrukce kulturního domu a stavby koncertní haly a hlavně tedy z mého pohledu, aby ten návrh byl dlouhodobě udržitelný. Tedy následujících 20 až 30 let, aby ta údržba nestála až tolik ten městský obvod a park stále zůstával hezký.”</w:t>
      </w:r>
    </w:p>
    <w:p>
      <w:pPr/>
      <w:r>
        <w:rPr/>
        <w:t xml:space="preserve">V sadu se objeví i zajímavé prvky jako ovocný sad a v jeho středu pak vodní prvek. Chybět nebude ani kavárnička. 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Park je po Komenského sadech druhý největší v Ostravě. Kromě koncertního sálu má v jeho blízkosti vyrůst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/>
        <w:t xml:space="preserve">Předpokládané náklady na realizaci proměny parku jsou 250 mil. Kč. Začátek realizace se odhaduje na rok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6342/sad-milady-horakove-v-ostrave-projde-revitalizaci-jeho-stredobodem-bude-vodni-pr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2026-06-09T23:09:34+02:00</dcterms:created>
  <dcterms:modified xsi:type="dcterms:W3CDTF">2026-06-09T23:09:34+02:00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