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začne s modernizací síťové infrastruktury ve školách, z úvěru se budou financovat i jiné projekty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"V prvé řadě. Už jsme mohli čerpat od roku 2022. To znamená rok jsme se zpozdili a stejně si myslím, že už na počátku odbor školství věděl, že to nebude možné realizovat v tom časovém období, na kdy je ten úvěr uzavřen. Dále si myslíme, že město má obrovskou zásobu finančních prostředků, jen k 31. březnu na fondu rozvoje je 680 milionů korun. Tak si myslím, že jde čerpat a financovat právě z vlastních peněz.”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úvěr a jeho určení se nemění. My opravdu chceme investovat do infrastruktury základních a mateřských škol, ale 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naprojektovány, a to proto, že ten úvěr máme za velmi výhodných podmínek pro město."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projektů, které město potřebuje, ale na které jsme neměli finanční prostředky.”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745/havirov-zacne-s-modernizaci-sitove-infrastruktury-ve-skolach-z-uveru-se-budou-financovat-i-j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