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se sešli koordinátoři participativních rozpočtů z celé ČR. Inspirovali se navzájem</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w:t>
      </w:r>
    </w:p>
    <w:p>
      <w:pPr/>
      <w:r>
        <w:rPr/>
        <w:t xml:space="preserve">Na Jihu začali s participativním rozpočtem jako první v Ostravě. A to v roce 2016. Lidé už za tu dobu navrhli bezmála 350 projektů a více než 70 z nich radnice zrealizovala. Mezi ty nejhezčí patří zrekonstruovaná kašna před poliklinikou v Hrabůvce.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892/v-ostravejihu-se-sesli-koordinatori-participativnich-rozpoctu-z-cele-cr-inspirovali-se-nav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2026-05-19T16:54:13+02:00</dcterms:created>
  <dcterms:modified xsi:type="dcterms:W3CDTF">2026-05-19T16:54:13+02:00</dcterms:modified>
</cp:coreProperties>
</file>

<file path=docProps/custom.xml><?xml version="1.0" encoding="utf-8"?>
<Properties xmlns="http://schemas.openxmlformats.org/officeDocument/2006/custom-properties" xmlns:vt="http://schemas.openxmlformats.org/officeDocument/2006/docPropsVTypes"/>
</file>