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Frýdlant nad Ostravicí nechalo v rámci projetu opravit klášterní kapli</w:t>
      </w:r>
    </w:p>
    <w:p>
      <w:pPr/>
      <w:r>
        <w:rPr>
          <w:b w:val="1"/>
          <w:bCs w:val="1"/>
        </w:rPr>
        <w:t xml:space="preserve">Pavla Dvořáková Dibonová, odbor školství a kultury:</w:t>
      </w:r>
      <w:r>
        <w:rPr/>
        <w:t xml:space="preserve"> “Stavební úpravy kaple probíhaly z projektu Po stopách kulturně přírodního dědictví Československého regionu. Projekt opravy kaple byl podpořen z výzvy Interreg Česká republika a Slovensko ve výši 90 procent uznatelných nákladů. Partnerem tohoto projektu nám bylo město Turzovka, který se rozhodl vybudovat nové naučné chodníky v okolí Živčákové a součástí toho projektu byl nespočet měkkých aktivit, jako například recitační soutěž žáků partnerských škol, turistický výšlap právě po nových naučných chodnících na Slovensku. V kapli se můžeme zúčastnit také komentovaných prohlídek, které provádí město Frýdlant nad Ostravicí spolu se Střediskem sociálních služeb. Kaple bývá také součástí Technotrasy města Frýdlant nad Ostravicí.”</w:t>
      </w:r>
    </w:p>
    <w:p>
      <w:pPr/>
      <w:r>
        <w:rPr/>
        <w:t xml:space="preserve">Trasa Technotrasy vede účastníky po stopách výroby smaltu a litiny ve Frýdlantě nad Ostravicí.</w:t>
      </w:r>
    </w:p>
    <w:p>
      <w:pPr/>
      <w:r>
        <w:rPr/>
        <w:t xml:space="preserve">{{souvisejici-clanek-"11000038563U"}}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“T</w:t>
      </w:r>
      <w:r>
        <w:rPr>
          <w:i w:val="1"/>
          <w:iCs w:val="1"/>
        </w:rPr>
        <w:t xml:space="preserve">a historie zpracování železa ve Frýdlantě nad Ostravicí se píše už od poloviny 17. století a v uzpůsobené podobě přetrvává až do dneška.</w:t>
      </w:r>
      <w:r>
        <w:rPr/>
        <w:t xml:space="preserve"> 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707/mesto-frydlant-nad-ostravici-nechalo-v-ramci-projetu-opravit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2026-06-29T03:23:41+02:00</dcterms:created>
  <dcterms:modified xsi:type="dcterms:W3CDTF">2026-06-29T03:23:41+02:00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