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každoročně vykastrují až 400 toulavých koček a kocourů</w:t>
      </w:r>
    </w:p>
    <w:p>
      <w:pPr/>
      <w:r>
        <w:rPr/>
        <w:t xml:space="preserve">Všichni veterináři působící na území Karviné uzavřeli s magistrátem města  v roce 2010 smlouvy týkající se kastračního programu volně žijících koček a kocourů.  </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S kastrací venkovních koček, které nejsou zvyklé na lidi, pomáhají i různé spolky, které mohou zapůjčit k odchytu i sklopec.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50/v-karvine-kazdorocne-vykastruji-az-400-toulavych-kocek-a-koco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2026-08-03T07:25:08+02:00</dcterms:created>
  <dcterms:modified xsi:type="dcterms:W3CDTF">2026-08-03T07:25:08+02:00</dcterms:modified>
</cp:coreProperties>
</file>

<file path=docProps/custom.xml><?xml version="1.0" encoding="utf-8"?>
<Properties xmlns="http://schemas.openxmlformats.org/officeDocument/2006/custom-properties" xmlns:vt="http://schemas.openxmlformats.org/officeDocument/2006/docPropsVTypes"/>
</file>