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krajský projekt vybavuje školy moderními učebnami</w:t>
      </w:r>
    </w:p>
    <w:p>
      <w:pPr/>
      <w:r>
        <w:rPr/>
        <w:t xml:space="preserve">Slavnostní otevření  nových prostor na ostravské zdravotnické škole představuje další důležitý  milník v rámci projektu TPA – inovační centrum pro transformaci vzdělávání  financovaného z operačního programu Spravedlivá transformace  s celkovým rozpočtem přes jednu miliardu korun.</w:t>
      </w:r>
    </w:p>
    <w:p>
      <w:pPr/>
      <w:r>
        <w:rPr>
          <w:b w:val="1"/>
          <w:bCs w:val="1"/>
        </w:rPr>
        <w:t xml:space="preserve">Stanislav Folwarczny  (ODS), náměstek hejtmana MS kraje:</w:t>
      </w:r>
      <w:r>
        <w:rPr/>
        <w:t xml:space="preserve"> „Jedním z těch hlavních cílů je podpora  podnikavosti, protože víme, že v tom v našem kraji poněkud  zaostáváme. Dalším cílem je podpora odborného vzdělávání a tím třetím je 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„To  prostředí, ve kterém studují, a metody, které se budou lišit od těch  klasických, by je měly podpořit v dalším vzdělávání i v získávání  dalších vědomostí, ale také jim tu výuku zatraktivnit.“</w:t>
      </w:r>
    </w:p>
    <w:p>
      <w:pPr/>
      <w:r>
        <w:rPr>
          <w:b w:val="1"/>
          <w:bCs w:val="1"/>
        </w:rPr>
        <w:t xml:space="preserve">Zuzana Chrástecká, učitelka odborného  vyučování: </w:t>
      </w:r>
      <w:r>
        <w:rPr/>
        <w:t xml:space="preserve">„Samotným žákům to určitě přinese obrovskou praxi, obrovskou  zkušenost, která se jim bude hodit do budoucna, když si budou chtít potom  založit svou vlastní ordinaci dentální hygieny.“</w:t>
      </w:r>
    </w:p>
    <w:p>
      <w:pPr/>
      <w:r>
        <w:rPr/>
        <w:t xml:space="preserve">Z programu  Spravedlivé transformace putují finance do osmi středních škol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131/velky-krajsky-projekt-vybavuje-skoly-modernimi-uceb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2026-07-13T21:08:49+02:00</dcterms:created>
  <dcterms:modified xsi:type="dcterms:W3CDTF">2026-07-13T21:08:49+02:00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