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Elektrárna Dětmarovice odchází od uhlí</w:t>
      </w:r>
    </w:p>
    <w:p>
      <w:pPr/>
      <w:r>
        <w:rPr/>
        <w:t xml:space="preserve">Do roku 2040 plánuje společnost ČEZ investovat v MS kraji  desítky miliard korun. Začala dvoumiliardovou investicí do moderní nízkoemisní  teplárny v Dětmarovicích. Hlavními zdroji bude biomasová kotelna a dvě  kogenerační jednotky.</w:t>
      </w:r>
    </w:p>
    <w:p>
      <w:pPr/>
      <w:r>
        <w:rPr>
          <w:b w:val="1"/>
          <w:bCs w:val="1"/>
        </w:rPr>
        <w:t xml:space="preserve">Kamil Čermák, generální ředitel ČEZ ESCO:</w:t>
      </w:r>
      <w:r>
        <w:rPr/>
        <w:t xml:space="preserve"> „Od nás nikdy  neuslyšíte, že přes všechny problémy a trampoty, které má energetika, že bychom  v nějakém regionu nebyli. Pro nás je MS kraj klíčový, my jsme v tomto  kraji vyrostli jako Energetika. A to, že tento kraj byl historicky  karbonizovaný, je pro nás teď úkol, abychom ho společně s našimi partnery  dekarbonizovali.“</w:t>
      </w:r>
    </w:p>
    <w:p>
      <w:pPr/>
      <w:r>
        <w:rPr/>
        <w:t xml:space="preserve">Města Bohumín a Orlová tak mají na další desítky let o dodávku  tepla postaráno.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„Já jsem moc  ráda, že jsme došli ke shodě. Pro Orlovou bylo důležité, aby ta cena pro  koncového zákazníka, pro naše domácnosti byla v době, kdy je to velmi  těžké, únosná.“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„Věřím, že budoucnost  bezemisní a čisté energetiky v MS kraji je a že ve spolupráci se  společností ČEZ budeme schopni se k této bezemisní a stabilní budoucnosti  dostat co nejdříve.“</w:t>
      </w:r>
    </w:p>
    <w:p>
      <w:pPr/>
      <w:r>
        <w:rPr/>
        <w:t xml:space="preserve">    ČEZ v našem kraji plánuje stavět i malé modulární  reaktory, obnovitelné zdroje a také baterie.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772/elektrarna-detmarovice-odchazi-od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2026-08-27T01:32:19+02:00</dcterms:created>
  <dcterms:modified xsi:type="dcterms:W3CDTF">2026-08-27T01:32:19+02:00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