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Vlastníci budov mohou do 30. června žádat o dotaci</w:t>
      </w:r>
    </w:p>
    <w:p>
      <w:pPr/>
      <w:r>
        <w:rPr/>
        <w:t xml:space="preserve">Týká se to ale jen fyzických osob, které podaly a uhradily  daň z nemovitosti, mají trvalý pobyt v obci Stonava, případně je v jejich  předmětné nemovitosti přihlášen k trvalému pobytu alespoň jeden občan. V  případě, že poplatník platí daň ve dvou splátkách, nebo provozuje zemědělskou  činnost, může o dotaci zažádat až do 30. listopadu. Celé znění tohoto dotačního  programu včetně žádosti naleznete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525/vlastnici-budov-mohou-do-30-cervna-zadat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2026-06-15T10:59:31+02:00</dcterms:created>
  <dcterms:modified xsi:type="dcterms:W3CDTF">2026-06-15T10:59:31+02:00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