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Radikální a citlivý k historii. Mezinárodní soutěž na proměnu a využití Bredy má vítěze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hyperlink r:id="rId9" w:history="1">
        <w:r>
          <w:rPr/>
          <w:t xml:space="preserve">https://cceamoba.cz/souteze/odbre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44/radikalni-a-citlivy-k-historii-mezinarodni-soutez-na-promenu-a-vyuziti-bredy-ma-viteze" TargetMode="External"/><Relationship Id="rId9" Type="http://schemas.openxmlformats.org/officeDocument/2006/relationships/hyperlink" Target="https://cceamoba.cz/souteze/od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2026-05-11T12:14:02+02:00</dcterms:created>
  <dcterms:modified xsi:type="dcterms:W3CDTF">2026-05-11T12:14:02+02:00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