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ihned po nabytí Českého domu začít se záchovnými pracemi na objektu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829/frydekmistek-chce-ihned-po-nabyti-ceskeho-domu-zacit-se-zachovnymi-pracemi-na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