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nechal opravit další čestné hroby, je mezi nimi i kulturní památka</w:t>
      </w:r>
    </w:p>
    <w:p>
      <w:pPr/>
      <w:r>
        <w:rPr/>
        <w:t xml:space="preserve">Záchovné práce na pěti hrobových místech na městském hřbitově v Novém Jičíně, které nesou označení čestný hrob, začaly v dubnu a nyní jsou již hotovy.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třeba náhrobek knihkupce a nakladatele Reinera Hosche, lékárníka Karla Stiborského a císařského rady Carla Marcuse.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starat.”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daně.”  </w:t>
      </w:r>
    </w:p>
    <w:p>
      <w:pPr/>
      <w:r>
        <w:rPr/>
        <w:t xml:space="preserve">Většinu částky uhradila novojičínská radnice, 250 tisíci korunami přispěl Česko-německý fond budoucnosti. Na tomto hřbitově je celkem 18 hrobů označených jako čestné. Město se o ně zavázalo pečovat před šesti lety.  V roce 2020 už byla opravena první pětice.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08/novy-jicin-nechal-opravit-dalsi-cestne-hroby-je-mezi-nimi-i-kultur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