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MNO nabízí po rekonstrukci větší komfort</w:t>
      </w:r>
    </w:p>
    <w:p>
      <w:pPr/>
      <w:r>
        <w:rPr/>
        <w:t xml:space="preserve">Rekonstrukce pavilonu přinesla větší komfort zdravotníkům i pacientům. Její prioritou bylo také zachování co nejvyšší lůžkové kapacity.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36/interna-mno-nabizi-po-rekonstrukci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2026-06-30T06:37:17+02:00</dcterms:created>
  <dcterms:modified xsi:type="dcterms:W3CDTF">2026-06-30T06:37:17+02:00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