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Opavy po povodních stále nejezdí vlaky. Trať z Ostravy do Opavy by měla být obnovena v půlce října</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ty škody jsou opravdu velké, je tam náhradní autobusová doprava, která zatím funguje, ale jsou tam poničené hodně ty území celé, celá ta trať je podemletá, takže jsou úseky, kdy trať je ve vzduchu, vůbec nemá vlastně žádný podklad.” </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ou a Krnovem, který zajistí další rozvoj západní části MS kraje."</w:t>
      </w:r>
    </w:p>
    <w:p>
      <w:pPr/>
      <w:r>
        <w:rPr/>
        <w:t xml:space="preserve">Co se týče elektrizace, tak prioritní je elektrizace traťového úseku mezi Opavou a Krnovem, který zajistí další rozvoj západní části MS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5299/do-opavy-po-povodnich-stale-nejezdi-vlaky-trat-z-ostravy-do-opavy-by-mela-byt-obnovena-v-pulce-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2026-08-17T01:19:51+02:00</dcterms:created>
  <dcterms:modified xsi:type="dcterms:W3CDTF">2026-08-17T01:19:51+02:00</dcterms:modified>
</cp:coreProperties>
</file>

<file path=docProps/custom.xml><?xml version="1.0" encoding="utf-8"?>
<Properties xmlns="http://schemas.openxmlformats.org/officeDocument/2006/custom-properties" xmlns:vt="http://schemas.openxmlformats.org/officeDocument/2006/docPropsVTypes"/>
</file>