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Stavbou MS kraje byl vyhlášen Dům služeb v Palkovicích</w:t>
      </w:r>
    </w:p>
    <w:p>
      <w:pPr/>
      <w:r>
        <w:rPr/>
        <w:t xml:space="preserve">Celkem 62 staveb se ucházelo o prvenství v 18. ročníku ankety  Stavba roku MS kraje. Odborná porota nakonec udělila hlavní cenu Domu služeb v Palkovicích.</w:t>
      </w:r>
    </w:p>
    <w:p>
      <w:pPr/>
      <w:r>
        <w:rPr>
          <w:b w:val="1"/>
          <w:bCs w:val="1"/>
        </w:rPr>
        <w:t xml:space="preserve">Radim Bača (Nezávislí pro Palkovice a Myslík), starosta  Palkovic:</w:t>
      </w:r>
      <w:r>
        <w:rPr/>
        <w:t xml:space="preserve"> „Je to vrchol našeho snažení. Letos jsme byli druzí v anketě Vesnice  roku, ale důležitější než je pro nás, aby se u nás lidem dobře žilo.“</w:t>
      </w:r>
    </w:p>
    <w:p>
      <w:pPr/>
      <w:r>
        <w:rPr/>
        <w:t xml:space="preserve">Hned dvě ocenění získala také budova CEETe v areálu VŠB-TUO.</w:t>
      </w:r>
    </w:p>
    <w:p>
      <w:pPr/>
      <w:r>
        <w:rPr>
          <w:b w:val="1"/>
          <w:bCs w:val="1"/>
        </w:rPr>
        <w:t xml:space="preserve">Lukáš Prokop, ředitel, CENET:</w:t>
      </w:r>
      <w:r>
        <w:rPr/>
        <w:t xml:space="preserve"> „Jedná se o testovací polygon  moderní energetiky, který kromě samotné stavby obsahuje řadu technologií, které  budou využitelné v budoucnu k přeměně látek na užitečné formy  energie. Výjimečná je zejména skloubením těch technologií pod jednu střechu.“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„Byl jsem  překvapený z velkého počtu nominací. Osobně mě zaujal vítězný dům v Palkovicích  a také průmyslové stavby.“</w:t>
      </w:r>
    </w:p>
    <w:p>
      <w:pPr/>
      <w:r>
        <w:rPr/>
        <w:t xml:space="preserve">    Za 18 ročníků se do soutěže přihlásilo přes 700 staveb 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37/stavbou-ms-kraje-byl-vyhlasen-dum-sluzeb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2026-06-25T04:39:45+02:00</dcterms:created>
  <dcterms:modified xsi:type="dcterms:W3CDTF">2026-06-25T04:39:45+02:00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