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nechala opravit dva kamenné kříže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”Původní stav byl nevyhovující a hrozilo zřícení, proto město přistoupili k renovaci.” </w:t>
      </w:r>
    </w:p>
    <w:p>
      <w:pPr/>
      <w:r>
        <w:rPr/>
        <w:t xml:space="preserve">Za obnovu kříže na ulici Družstevní zaplatila radnice 85 tisíc korun, práce na opravě většího kříže v Butovicích si vyžádaly investici 360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“Prvně jsem zjistili, že ty kříže vůbec náleží městu, a protože byly nějaká impulsy ze strany občanů, že by jejich stav mohl hrozit pádem. Takže jsem si nechali ověřit vlastnictví, zjistili jsme, že kříže jsou našim majetkem, a jako správní hospodáři jsme k tomu přistoupili.” </w:t>
      </w:r>
    </w:p>
    <w:p>
      <w:pPr/>
      <w:r>
        <w:rPr/>
        <w:t xml:space="preserve">Renovační práce prováděla na podzim odborná firma. Kříže byly po dobu oprav odvezeny do restaurátorské dílny.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708/studenka-nechala-opravit-dva-kamenne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2026-08-08T03:48:52+02:00</dcterms:created>
  <dcterms:modified xsi:type="dcterms:W3CDTF">2026-08-08T03:48:52+02:00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