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klesla cena tepla pro letošní rok o čtyři procenta</w:t>
      </w:r>
    </w:p>
    <w:p>
      <w:pPr/>
      <w:r>
        <w:rPr/>
        <w:t xml:space="preserve">Dlouhodobým provozovatelem tepelného hospodářství je v Novém Jičíně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roce.”     </w:t>
      </w:r>
    </w:p>
    <w:p>
      <w:pPr/>
      <w:r>
        <w:rPr/>
        <w:t xml:space="preserve">Město společnosti Veolia pronajímá své kotelny, teplovody a domovní předávací stanice. Nájemné činí 11,5 milionů korun ročně. Tyto peníze investuje do modernizací tepelného hospodářství.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provozu.”  </w:t>
      </w:r>
    </w:p>
    <w:p>
      <w:pPr/>
      <w:r>
        <w:rPr/>
        <w:t xml:space="preserve">Revitalizovány jsou na území města už všechny kotelny, začala tak postupná výměna teplovodů. Konkrétně letos v Loučce v lokalitě haly na stolní tenis.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42/v-novem-jicine-klesla-cena-tepla-pro-letosni-rok-o-ctyri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2026-07-14T18:57:26+02:00</dcterms:created>
  <dcterms:modified xsi:type="dcterms:W3CDTF">2026-07-14T18:57:26+02:00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