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Agresor se zbraní, zranění i úraz elektřinou. Prožitková první pomoc učí zásahy u reálných situací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hyperlink r:id="rId9" w:history="1">
        <w:r>
          <w:rPr/>
          <w:t xml:space="preserve">Sportovní-klub.cz</w:t>
        </w:r>
      </w:hyperlink>
      <w:r>
        <w:rPr/>
        <w:t xml:space="preserve"> Havířov realizuje různé formy kurzů první  pomoci. Učí zaměstnance řady institucí, spolupracuje se školami i  s dobrovolnými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989/agresor-se-zbrani-zraneni-i-uraz-elektrinou-prozitkova-prvni-pomoc-uci-zasahy-u-realnych-situaci" TargetMode="External"/><Relationship Id="rId9" Type="http://schemas.openxmlformats.org/officeDocument/2006/relationships/hyperlink" Target="https://www.sportovni-klub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2026-05-07T19:33:41+02:00</dcterms:created>
  <dcterms:modified xsi:type="dcterms:W3CDTF">2026-05-07T19:33:41+02:00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