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nemocnicím pomáhá umělá inteligence, možnosti se dále rozšiřují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 na ty negativní, pozitivní a abnormální snímky je ten systém více než 90, 95%."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screening."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 a ohledně té virtuální reality, tak ta je aktuálně používaná v šesti krajských nemocnicích.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479/krajskym-nemocnicim-pomaha-umela-inteligence-moznosti-se-dale-rozs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