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podmanil krajské kolo soutěže tanečních oborů</w:t>
      </w:r>
    </w:p>
    <w:p>
      <w:pPr/>
      <w:r>
        <w:rPr/>
        <w:t xml:space="preserve">Nejlepší mladí tanečníci z moravskoslezského regionu se představili v novojičínském Beskydském divadle. Konalo se tu krajské kolo soutěžní přehlídky základních uměleckých škol, které je pořádáno co tři roky. O postup do 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náročné. Vždycky ale musíme také dávat pozor na určité složky, které musí být naplněny, a to jak hudební výběr, tak ta technická stránka, co se týče kompozice choreografie, taneční interpretace, a také samotný námět, který musíme i my vidět jako diváci.”         </w:t>
      </w:r>
    </w:p>
    <w:p>
      <w:pPr/>
      <w:r>
        <w:rPr/>
        <w:t xml:space="preserve">Novojičínský taneční obor prezentovaly v krajském kole dvě choreografie. Součást(ky) a Ztráta ve větru, do které si tanečnice zapracovali i své hlasy.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“Tady na soutěži tančím s kamarádkou. Původně to byl duet na náš absolventský koncert, ale později jsem se tedy dostaly i a soutěž a postoupily jsme.”  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67/novy-jicin-si-podmanil-krajske-kolo-souteze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2026-07-14T14:44:15+02:00</dcterms:created>
  <dcterms:modified xsi:type="dcterms:W3CDTF">2026-07-14T14:44:15+02:00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