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 s opilci v Opavě vyvrcholil novou vyhláškou, která zakazuje pití alkoholu na veřejnosti</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Jsou to pořád ty stejné osoby, většinou jsou to osoby bez domova nebo třeba nějaká problémová mládež.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 Jsem přesvědčen, že to pomůže, protože už ten samotný nástroj, že tam MP může ihned daného dotyčného člověka vykázat nebo udělit pokutu či poslat do přestupkového řízení, tak je jakousi ochranou, aby skutečně toto už nevznikalo.”</w:t>
      </w:r>
    </w:p>
    <w:p>
      <w:pPr/>
      <w:r>
        <w:rPr/>
        <w:t xml:space="preserve">Vyhláškou stanovený zákaz se nevztahuje na prostory restaurací a jejich zahrádek během provozní doby, na tržní místa a místa vymezená pro konání různých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880/problem-s-opilci-v-opave-vyvrcholil-novou-vyhlaskou-ktera-zakazuje-piti-alkoholu-n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2026-06-18T08:33:20+02:00</dcterms:created>
  <dcterms:modified xsi:type="dcterms:W3CDTF">2026-06-18T08:33:20+02:00</dcterms:modified>
</cp:coreProperties>
</file>

<file path=docProps/custom.xml><?xml version="1.0" encoding="utf-8"?>
<Properties xmlns="http://schemas.openxmlformats.org/officeDocument/2006/custom-properties" xmlns:vt="http://schemas.openxmlformats.org/officeDocument/2006/docPropsVTypes"/>
</file>