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Pavel pokračuje v návštěvě Moravskoslezského kraje</w:t>
      </w:r>
    </w:p>
    <w:p>
      <w:pPr/>
      <w:r>
        <w:rPr/>
        <w:t xml:space="preserve">Úterní část návštěvy začela v Ostravě-Koblově, kde prezident zavítal do azylového domu Nová šance, z. s. Debatoval také se studenty Odborného učiliště a praktické školy v Hlučíně. </w:t>
      </w:r>
    </w:p>
    <w:p>
      <w:pPr/>
      <w:r>
        <w:rPr/>
        <w:t xml:space="preserve">{{souvisejici-clanek-"11000048905"}}</w:t>
      </w:r>
    </w:p>
    <w:p>
      <w:pPr/>
      <w:r>
        <w:rPr/>
        <w:t xml:space="preserve">U Národního památníku II. světové války v Hrabyni položil kytici a prohlédl si nedávno modernizovanou expozici. </w:t>
      </w:r>
    </w:p>
    <w:p>
      <w:pPr/>
      <w:r>
        <w:rPr/>
        <w:t xml:space="preserve">{{souvisejici-clanek-"1000048915"}}</w:t>
      </w:r>
    </w:p>
    <w:p>
      <w:pPr/>
      <w:r>
        <w:rPr/>
        <w:t xml:space="preserve">Návštěvu zakončí prohlídkou vojenské techniky 53. pluku průzkumu a elektronického boje v Opavě a setkáním s vedením a občany města Bruntál.</w:t>
      </w:r>
    </w:p>
    <w:p>
      <w:pPr/>
      <w:r>
        <w:rPr/>
        <w:t xml:space="preserve">{{souvisejici-clanek-"11000048899"}} </w:t>
      </w:r>
    </w:p>
    <w:p>
      <w:pPr/>
      <w:r>
        <w:rPr/>
        <w:t xml:space="preserve">{{souvisejici-clanek-"11000048705"}}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930/prezident-pavel-pokracuje-v-navsteve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2026-06-23T18:31:04+02:00</dcterms:created>
  <dcterms:modified xsi:type="dcterms:W3CDTF">2026-06-23T18:31:04+02:00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