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Lomné proběhlo další setkání krajských pěstounů</w:t>
      </w:r>
    </w:p>
    <w:p>
      <w:pPr/>
      <w:r>
        <w:rPr>
          <w:b w:val="1"/>
          <w:bCs w:val="1"/>
        </w:rPr>
        <w:t xml:space="preserve">Kateřina Hotová, pěstounka</w:t>
      </w:r>
      <w:r>
        <w:rPr/>
        <w:t xml:space="preserve">: “Myslím,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 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 </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110/v-horni-lomne-probehlo-dalsi-setkani-krajskych-pesto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2026-05-27T12:26:55+02:00</dcterms:created>
  <dcterms:modified xsi:type="dcterms:W3CDTF">2026-05-27T12:26:55+02:00</dcterms:modified>
</cp:coreProperties>
</file>

<file path=docProps/custom.xml><?xml version="1.0" encoding="utf-8"?>
<Properties xmlns="http://schemas.openxmlformats.org/officeDocument/2006/custom-properties" xmlns:vt="http://schemas.openxmlformats.org/officeDocument/2006/docPropsVTypes"/>
</file>