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novou náměstkyni pro správu majetku a zřídil i Dopravní výbor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194/frydekmistek-ma-novou-namestkyni-pro-spravu-majetku-a-zridil-i-dopravni-vy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